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2A9" w:rsidRPr="00AD21F1" w:rsidRDefault="00BF62A9" w:rsidP="00BF62A9">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AD21F1">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192</w:t>
      </w:r>
      <w:r>
        <w:rPr>
          <w:rFonts w:ascii="Calibri" w:eastAsia="Times New Roman" w:hAnsi="Calibri" w:cs="Arial"/>
          <w:b/>
          <w:sz w:val="24"/>
          <w:szCs w:val="24"/>
          <w:u w:val="single"/>
        </w:rPr>
        <w:t>/2022</w:t>
      </w:r>
    </w:p>
    <w:p w:rsidR="00BF62A9" w:rsidRDefault="00BF62A9" w:rsidP="00BF62A9">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BF62A9" w:rsidRPr="00AD21F1" w:rsidRDefault="00BF62A9" w:rsidP="00BF62A9">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BF62A9" w:rsidRPr="00AD21F1" w:rsidRDefault="00BF62A9" w:rsidP="00BF62A9">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 xml:space="preserve">PROCESSO Nº </w:t>
      </w:r>
      <w:r>
        <w:rPr>
          <w:rFonts w:ascii="Calibri" w:eastAsia="Times New Roman" w:hAnsi="Calibri" w:cs="Arial"/>
          <w:b/>
          <w:sz w:val="24"/>
          <w:szCs w:val="24"/>
        </w:rPr>
        <w:t>112</w:t>
      </w:r>
      <w:r w:rsidRPr="00AD21F1">
        <w:rPr>
          <w:rFonts w:ascii="Calibri" w:eastAsia="Times New Roman" w:hAnsi="Calibri" w:cs="Arial"/>
          <w:b/>
          <w:sz w:val="24"/>
          <w:szCs w:val="24"/>
        </w:rPr>
        <w:t>/</w:t>
      </w:r>
      <w:r>
        <w:rPr>
          <w:rFonts w:ascii="Calibri" w:eastAsia="Times New Roman" w:hAnsi="Calibri" w:cs="Arial"/>
          <w:b/>
          <w:sz w:val="24"/>
          <w:szCs w:val="24"/>
        </w:rPr>
        <w:t>2022</w:t>
      </w:r>
      <w:r w:rsidRPr="00AD21F1">
        <w:rPr>
          <w:rFonts w:ascii="Calibri" w:eastAsia="Times New Roman" w:hAnsi="Calibri" w:cs="Arial"/>
          <w:b/>
          <w:sz w:val="24"/>
          <w:szCs w:val="24"/>
        </w:rPr>
        <w:t>.</w:t>
      </w:r>
    </w:p>
    <w:p w:rsidR="00BF62A9" w:rsidRPr="00AD21F1" w:rsidRDefault="00BF62A9" w:rsidP="00BF62A9">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BF62A9" w:rsidRPr="00AD21F1" w:rsidRDefault="00BF62A9" w:rsidP="00BF62A9">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Ao primeiro dia do mês de Agosto de 2022</w:t>
      </w:r>
      <w:r w:rsidRPr="00AD21F1">
        <w:rPr>
          <w:rFonts w:ascii="Calibri" w:eastAsia="Times New Roman" w:hAnsi="Calibri" w:cs="Arial"/>
          <w:sz w:val="24"/>
          <w:szCs w:val="24"/>
        </w:rPr>
        <w:t xml:space="preserve">, na sede da Prefeitura Municipal de Guapirama, Paraná, sito à Rua </w:t>
      </w:r>
      <w:proofErr w:type="gramStart"/>
      <w:r w:rsidRPr="00AD21F1">
        <w:rPr>
          <w:rFonts w:ascii="Calibri" w:eastAsia="Times New Roman" w:hAnsi="Calibri" w:cs="Arial"/>
          <w:sz w:val="24"/>
          <w:szCs w:val="24"/>
        </w:rPr>
        <w:t>2</w:t>
      </w:r>
      <w:proofErr w:type="gramEnd"/>
      <w:r w:rsidRPr="00AD21F1">
        <w:rPr>
          <w:rFonts w:ascii="Calibri" w:eastAsia="Times New Roman" w:hAnsi="Calibri" w:cs="Arial"/>
          <w:sz w:val="24"/>
          <w:szCs w:val="24"/>
        </w:rPr>
        <w:t xml:space="preserve"> de março, nº 460, Centro, CNPJ/MF nº 75.443.812/0001-00, neste ato, representada pelo Prefeito Municipal Senhor</w:t>
      </w:r>
      <w:r w:rsidRPr="00AD21F1">
        <w:rPr>
          <w:rFonts w:ascii="Calibri" w:eastAsia="Times New Roman" w:hAnsi="Calibri" w:cs="Arial"/>
          <w:b/>
          <w:sz w:val="24"/>
          <w:szCs w:val="24"/>
        </w:rPr>
        <w:t xml:space="preserve"> EDUI GONÇALVES, </w:t>
      </w:r>
      <w:r w:rsidRPr="00AD21F1">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D21F1">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AD21F1">
        <w:rPr>
          <w:rFonts w:ascii="Calibri" w:eastAsia="Times New Roman" w:hAnsi="Calibri" w:cs="Arial"/>
          <w:sz w:val="24"/>
          <w:szCs w:val="24"/>
        </w:rPr>
        <w:t>, expedida pela SSP/</w:t>
      </w:r>
      <w:r>
        <w:rPr>
          <w:rFonts w:ascii="Calibri" w:eastAsia="Times New Roman" w:hAnsi="Calibri" w:cs="Arial"/>
          <w:sz w:val="24"/>
          <w:szCs w:val="24"/>
        </w:rPr>
        <w:t>PR</w:t>
      </w:r>
      <w:r w:rsidRPr="00AD21F1">
        <w:rPr>
          <w:rFonts w:ascii="Calibri" w:eastAsia="Times New Roman" w:hAnsi="Calibri" w:cs="Arial"/>
          <w:sz w:val="24"/>
          <w:szCs w:val="24"/>
        </w:rPr>
        <w:t xml:space="preserve">, doravante denominada </w:t>
      </w:r>
      <w:r w:rsidRPr="00AD21F1">
        <w:rPr>
          <w:rFonts w:ascii="Calibri" w:eastAsia="Times New Roman" w:hAnsi="Calibri" w:cs="Arial"/>
          <w:b/>
          <w:bCs/>
          <w:sz w:val="24"/>
          <w:szCs w:val="24"/>
        </w:rPr>
        <w:t>CONTRATANTE</w:t>
      </w:r>
      <w:r w:rsidRPr="00AD21F1">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AD21F1">
        <w:rPr>
          <w:rFonts w:ascii="Calibri" w:eastAsia="Times New Roman" w:hAnsi="Calibri" w:cs="Arial"/>
          <w:b/>
          <w:sz w:val="24"/>
          <w:szCs w:val="24"/>
        </w:rPr>
        <w:t>PREGÃO ELETRÔNICO</w:t>
      </w:r>
      <w:r w:rsidRPr="00AD21F1">
        <w:rPr>
          <w:rFonts w:ascii="Calibri" w:eastAsia="Times New Roman" w:hAnsi="Calibri" w:cs="Arial"/>
          <w:sz w:val="24"/>
          <w:szCs w:val="24"/>
        </w:rPr>
        <w:t xml:space="preserve"> </w:t>
      </w:r>
      <w:r w:rsidRPr="00AD21F1">
        <w:rPr>
          <w:rFonts w:ascii="Calibri" w:eastAsia="Times New Roman" w:hAnsi="Calibri" w:cs="Arial"/>
          <w:b/>
          <w:sz w:val="24"/>
          <w:szCs w:val="24"/>
        </w:rPr>
        <w:t>nº</w:t>
      </w:r>
      <w:r w:rsidRPr="00AD21F1">
        <w:rPr>
          <w:rFonts w:ascii="Calibri" w:eastAsia="Times New Roman" w:hAnsi="Calibri" w:cs="Arial"/>
          <w:sz w:val="24"/>
          <w:szCs w:val="24"/>
        </w:rPr>
        <w:t xml:space="preserve"> </w:t>
      </w:r>
      <w:r>
        <w:rPr>
          <w:rFonts w:ascii="Calibri" w:eastAsia="Times New Roman" w:hAnsi="Calibri" w:cs="Arial"/>
          <w:b/>
          <w:sz w:val="24"/>
          <w:szCs w:val="24"/>
        </w:rPr>
        <w:t>66</w:t>
      </w:r>
      <w:r w:rsidRPr="00AD21F1">
        <w:rPr>
          <w:rFonts w:ascii="Calibri" w:eastAsia="Times New Roman" w:hAnsi="Calibri" w:cs="Arial"/>
          <w:b/>
          <w:sz w:val="24"/>
          <w:szCs w:val="24"/>
        </w:rPr>
        <w:t>/</w:t>
      </w:r>
      <w:r>
        <w:rPr>
          <w:rFonts w:ascii="Calibri" w:eastAsia="Times New Roman" w:hAnsi="Calibri" w:cs="Arial"/>
          <w:b/>
          <w:sz w:val="24"/>
          <w:szCs w:val="24"/>
        </w:rPr>
        <w:t>2022</w:t>
      </w:r>
      <w:r w:rsidRPr="00AD21F1">
        <w:rPr>
          <w:rFonts w:ascii="Calibri" w:eastAsia="Times New Roman" w:hAnsi="Calibri" w:cs="Arial"/>
          <w:sz w:val="24"/>
          <w:szCs w:val="24"/>
        </w:rPr>
        <w:t>, consoante as seguintes cláusulas e condições:</w:t>
      </w:r>
    </w:p>
    <w:p w:rsidR="00BF62A9" w:rsidRPr="00AD21F1" w:rsidRDefault="00BF62A9" w:rsidP="00BF62A9">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BF62A9" w:rsidRPr="00AD21F1" w:rsidRDefault="00BF62A9" w:rsidP="00BF62A9">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PRIMEIRA: Objeto</w:t>
      </w:r>
    </w:p>
    <w:p w:rsidR="00BF62A9" w:rsidRPr="00BF62A9" w:rsidRDefault="00BF62A9" w:rsidP="00BF62A9">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hAnsi="Calibri" w:cs="Arial"/>
          <w:b/>
          <w:sz w:val="24"/>
          <w:szCs w:val="24"/>
        </w:rPr>
      </w:pPr>
      <w:r w:rsidRPr="00AD21F1">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PARCELADA DE GÊNEROS DE ALIMENTAÇÃO E HORTIFRUTI EM ATENDIMENTO AS NECESSIDADES DA COZINHA COMUNITÁRIA DURANTE 12 (DOZE) MESES</w:t>
      </w:r>
      <w:r w:rsidRPr="00AD21F1">
        <w:rPr>
          <w:rFonts w:ascii="Calibri" w:eastAsia="Times New Roman" w:hAnsi="Calibri" w:cs="Arial"/>
          <w:b/>
          <w:caps/>
          <w:sz w:val="24"/>
          <w:szCs w:val="24"/>
        </w:rPr>
        <w:t xml:space="preserve"> </w:t>
      </w:r>
      <w:r w:rsidRPr="00AD21F1">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66</w:t>
      </w:r>
      <w:r w:rsidRPr="00AD21F1">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BF62A9" w:rsidRPr="00AD21F1" w:rsidRDefault="00BF62A9" w:rsidP="00BF62A9">
      <w:pPr>
        <w:tabs>
          <w:tab w:val="left" w:pos="567"/>
        </w:tabs>
        <w:overflowPunct w:val="0"/>
        <w:autoSpaceDE w:val="0"/>
        <w:autoSpaceDN w:val="0"/>
        <w:adjustRightInd w:val="0"/>
        <w:spacing w:after="0" w:line="240" w:lineRule="auto"/>
        <w:contextualSpacing/>
        <w:jc w:val="both"/>
        <w:textAlignment w:val="baseline"/>
        <w:rPr>
          <w:rFonts w:ascii="Calibri" w:hAnsi="Calibri" w:cs="Arial"/>
          <w:b/>
          <w:sz w:val="24"/>
          <w:szCs w:val="24"/>
        </w:rPr>
      </w:pPr>
      <w:bookmarkStart w:id="0" w:name="_GoBack"/>
      <w:bookmarkEnd w:id="0"/>
    </w:p>
    <w:p w:rsidR="00BF62A9" w:rsidRDefault="00BF62A9" w:rsidP="00BF62A9">
      <w:pPr>
        <w:tabs>
          <w:tab w:val="num" w:pos="0"/>
        </w:tabs>
        <w:overflowPunct w:val="0"/>
        <w:autoSpaceDE w:val="0"/>
        <w:autoSpaceDN w:val="0"/>
        <w:adjustRightInd w:val="0"/>
        <w:spacing w:after="0" w:line="240" w:lineRule="auto"/>
        <w:jc w:val="both"/>
        <w:textAlignment w:val="baseline"/>
        <w:rPr>
          <w:rFonts w:asciiTheme="minorHAnsi" w:eastAsia="Times New Roman" w:hAnsiTheme="minorHAnsi" w:cs="Arial"/>
          <w:b/>
          <w:sz w:val="24"/>
          <w:szCs w:val="24"/>
        </w:rPr>
      </w:pPr>
      <w:r w:rsidRPr="00BF62A9">
        <w:rPr>
          <w:rFonts w:asciiTheme="minorHAnsi" w:eastAsia="Times New Roman" w:hAnsiTheme="minorHAnsi" w:cs="Arial"/>
          <w:b/>
          <w:sz w:val="24"/>
          <w:szCs w:val="24"/>
        </w:rPr>
        <w:t>1.2</w:t>
      </w:r>
      <w:r>
        <w:rPr>
          <w:rFonts w:asciiTheme="minorHAnsi" w:eastAsia="Times New Roman" w:hAnsiTheme="minorHAnsi" w:cs="Arial"/>
          <w:sz w:val="24"/>
          <w:szCs w:val="24"/>
        </w:rPr>
        <w:t xml:space="preserve"> </w:t>
      </w:r>
      <w:r w:rsidRPr="00BF62A9">
        <w:rPr>
          <w:rFonts w:asciiTheme="minorHAnsi" w:eastAsia="Times New Roman" w:hAnsiTheme="minorHAnsi" w:cs="Arial"/>
          <w:sz w:val="24"/>
          <w:szCs w:val="24"/>
        </w:rPr>
        <w:t xml:space="preserve">A empresa </w:t>
      </w:r>
      <w:r w:rsidRPr="00BF62A9">
        <w:rPr>
          <w:rFonts w:asciiTheme="minorHAnsi" w:eastAsia="Times New Roman" w:hAnsiTheme="minorHAnsi" w:cs="Arial"/>
          <w:b/>
          <w:sz w:val="24"/>
          <w:szCs w:val="24"/>
        </w:rPr>
        <w:t>DEISIELE ELIAS FARIA OJEDA - EPP</w:t>
      </w:r>
      <w:r w:rsidRPr="00BF62A9">
        <w:rPr>
          <w:rFonts w:asciiTheme="minorHAnsi" w:eastAsia="Times New Roman" w:hAnsiTheme="minorHAnsi" w:cs="Arial"/>
          <w:sz w:val="24"/>
          <w:szCs w:val="24"/>
        </w:rPr>
        <w:t xml:space="preserve">, com sede na cidade de </w:t>
      </w:r>
      <w:proofErr w:type="gramStart"/>
      <w:r w:rsidRPr="00BF62A9">
        <w:rPr>
          <w:rFonts w:asciiTheme="minorHAnsi" w:eastAsia="Times New Roman" w:hAnsiTheme="minorHAnsi" w:cs="Arial"/>
          <w:sz w:val="24"/>
          <w:szCs w:val="24"/>
        </w:rPr>
        <w:t>Guapirama-PR</w:t>
      </w:r>
      <w:proofErr w:type="gramEnd"/>
      <w:r w:rsidRPr="00BF62A9">
        <w:rPr>
          <w:rFonts w:asciiTheme="minorHAnsi" w:eastAsia="Times New Roman" w:hAnsiTheme="minorHAnsi" w:cs="Arial"/>
          <w:sz w:val="24"/>
          <w:szCs w:val="24"/>
        </w:rPr>
        <w:t xml:space="preserve">, sito à Rua Sete de Setembro, nº 983, Centro, inscrita no CNPJ/MF sob nº 11.730.904/0001-99, representada por sua representante </w:t>
      </w:r>
      <w:r w:rsidRPr="00BF62A9">
        <w:rPr>
          <w:rFonts w:asciiTheme="minorHAnsi" w:eastAsia="Times New Roman" w:hAnsiTheme="minorHAnsi" w:cs="Arial"/>
          <w:b/>
          <w:sz w:val="24"/>
          <w:szCs w:val="24"/>
        </w:rPr>
        <w:t>DEISIELE ELIAS FARIA OJEDA</w:t>
      </w:r>
      <w:r w:rsidRPr="00BF62A9">
        <w:rPr>
          <w:rFonts w:asciiTheme="minorHAnsi" w:eastAsia="Times New Roman" w:hAnsiTheme="minorHAnsi" w:cs="Arial"/>
          <w:sz w:val="24"/>
          <w:szCs w:val="24"/>
        </w:rPr>
        <w:t xml:space="preserve">, inscrita no CPF/MF sob nº 066.552.339-41 e portador da Carteira de Identidade RG nº 10.822.930-6/PR doravante denominada </w:t>
      </w:r>
      <w:r w:rsidRPr="00BF62A9">
        <w:rPr>
          <w:rFonts w:asciiTheme="minorHAnsi" w:eastAsia="Times New Roman" w:hAnsiTheme="minorHAnsi" w:cs="Arial"/>
          <w:b/>
          <w:sz w:val="24"/>
          <w:szCs w:val="24"/>
        </w:rPr>
        <w:t>DETENTORA</w:t>
      </w:r>
      <w:r w:rsidRPr="00BF62A9">
        <w:rPr>
          <w:rFonts w:asciiTheme="minorHAnsi" w:eastAsia="Times New Roman" w:hAnsiTheme="minorHAnsi" w:cs="Arial"/>
          <w:sz w:val="24"/>
          <w:szCs w:val="24"/>
        </w:rPr>
        <w:t xml:space="preserve">, obriga-se a fornecer à Prefeitura Municipal de Guapirama (PR), de acordo com as solicitações feitas pela </w:t>
      </w:r>
      <w:r w:rsidRPr="00BF62A9">
        <w:rPr>
          <w:rFonts w:asciiTheme="minorHAnsi" w:eastAsia="Times New Roman" w:hAnsiTheme="minorHAnsi" w:cs="Arial"/>
          <w:b/>
          <w:sz w:val="24"/>
          <w:szCs w:val="24"/>
        </w:rPr>
        <w:t>CONTRATANTE, os itens em anexo</w:t>
      </w:r>
    </w:p>
    <w:p w:rsidR="00BF62A9" w:rsidRPr="00BF62A9" w:rsidRDefault="00BF62A9" w:rsidP="00BF62A9">
      <w:pPr>
        <w:tabs>
          <w:tab w:val="num" w:pos="0"/>
        </w:tabs>
        <w:overflowPunct w:val="0"/>
        <w:autoSpaceDE w:val="0"/>
        <w:autoSpaceDN w:val="0"/>
        <w:adjustRightInd w:val="0"/>
        <w:spacing w:after="0" w:line="240" w:lineRule="auto"/>
        <w:jc w:val="both"/>
        <w:textAlignment w:val="baseline"/>
        <w:rPr>
          <w:rFonts w:asciiTheme="minorHAnsi" w:eastAsia="Times New Roman" w:hAnsiTheme="minorHAnsi" w:cs="Arial"/>
          <w:sz w:val="24"/>
          <w:szCs w:val="24"/>
        </w:rPr>
      </w:pPr>
    </w:p>
    <w:p w:rsidR="00BF62A9" w:rsidRPr="00AD21F1" w:rsidRDefault="00BF62A9" w:rsidP="00BF62A9">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SEGUNDA: Valor Contratual</w:t>
      </w:r>
    </w:p>
    <w:p w:rsidR="00BF62A9" w:rsidRPr="00AD21F1" w:rsidRDefault="00BF62A9" w:rsidP="00BF62A9">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D21F1">
        <w:rPr>
          <w:rFonts w:ascii="Calibri" w:eastAsia="Times New Roman" w:hAnsi="Calibri" w:cs="Arial"/>
          <w:b/>
          <w:sz w:val="24"/>
          <w:szCs w:val="24"/>
        </w:rPr>
        <w:t>2.1.</w:t>
      </w:r>
      <w:r w:rsidRPr="00AD21F1">
        <w:rPr>
          <w:rFonts w:ascii="Calibri" w:eastAsia="Times New Roman" w:hAnsi="Calibri" w:cs="Arial"/>
          <w:b/>
          <w:sz w:val="24"/>
          <w:szCs w:val="24"/>
        </w:rPr>
        <w:tab/>
      </w:r>
      <w:r w:rsidRPr="00AD21F1">
        <w:rPr>
          <w:rFonts w:ascii="Calibri" w:eastAsia="Times New Roman" w:hAnsi="Calibri" w:cs="Arial"/>
          <w:sz w:val="24"/>
          <w:szCs w:val="24"/>
        </w:rPr>
        <w:t xml:space="preserve">Conforme o sistema de registro de preço, o valor registrado é </w:t>
      </w:r>
      <w:r w:rsidRPr="00AD21F1">
        <w:rPr>
          <w:rFonts w:ascii="Calibri" w:eastAsia="Times New Roman" w:hAnsi="Calibri" w:cs="Arial"/>
          <w:bCs/>
          <w:sz w:val="24"/>
          <w:szCs w:val="24"/>
        </w:rPr>
        <w:t>referente aos itens a serem adquiridos de acordo com as necessidades do município dentro do período de doze meses.</w:t>
      </w:r>
    </w:p>
    <w:p w:rsidR="00BF62A9" w:rsidRPr="00AD21F1" w:rsidRDefault="00BF62A9" w:rsidP="00BF62A9">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lastRenderedPageBreak/>
        <w:t>CLÁUSULA TERCEIRA: Condições de Pagamento</w:t>
      </w:r>
    </w:p>
    <w:p w:rsidR="00BF62A9" w:rsidRPr="00AD21F1" w:rsidRDefault="00BF62A9" w:rsidP="00BF62A9">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Será observada a condição de pagamento de </w:t>
      </w:r>
      <w:r w:rsidRPr="00AD21F1">
        <w:rPr>
          <w:rFonts w:ascii="Calibri" w:eastAsia="Times New Roman" w:hAnsi="Calibri" w:cs="Arial"/>
          <w:b/>
          <w:sz w:val="24"/>
          <w:szCs w:val="24"/>
        </w:rPr>
        <w:t>30 (trinta) dias</w:t>
      </w:r>
      <w:r w:rsidRPr="00AD21F1">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BF62A9" w:rsidRPr="00AD21F1" w:rsidRDefault="00BF62A9" w:rsidP="00BF62A9">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w:t>
      </w:r>
      <w:r w:rsidRPr="00AD21F1">
        <w:rPr>
          <w:rFonts w:ascii="Calibri" w:eastAsia="Times New Roman" w:hAnsi="Calibri" w:cs="Arial"/>
          <w:b/>
          <w:bCs/>
          <w:sz w:val="24"/>
          <w:szCs w:val="24"/>
        </w:rPr>
        <w:t>CONTRATANTE</w:t>
      </w:r>
      <w:r w:rsidRPr="00AD21F1">
        <w:rPr>
          <w:rFonts w:ascii="Calibri" w:eastAsia="Times New Roman" w:hAnsi="Calibri" w:cs="Arial"/>
          <w:sz w:val="24"/>
          <w:szCs w:val="24"/>
        </w:rPr>
        <w:t xml:space="preserve"> disporá de 03 (três) dias para efetuar o atesto, ou rejeitar os documentos de cobrança por erros ou incorreções em seu preenchimento;</w:t>
      </w:r>
    </w:p>
    <w:p w:rsidR="00BF62A9" w:rsidRPr="00AD21F1" w:rsidRDefault="00BF62A9" w:rsidP="00BF62A9">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w:t>
      </w:r>
      <w:r w:rsidRPr="00AD21F1">
        <w:rPr>
          <w:rFonts w:ascii="Calibri" w:eastAsia="Times New Roman" w:hAnsi="Calibri" w:cs="Arial"/>
          <w:b/>
          <w:bCs/>
          <w:sz w:val="24"/>
          <w:szCs w:val="24"/>
        </w:rPr>
        <w:t>CONTRATANTE</w:t>
      </w:r>
      <w:r w:rsidRPr="00AD21F1">
        <w:rPr>
          <w:rFonts w:ascii="Calibri" w:eastAsia="Times New Roman" w:hAnsi="Calibri" w:cs="Arial"/>
          <w:sz w:val="24"/>
          <w:szCs w:val="24"/>
        </w:rPr>
        <w:t xml:space="preserve"> não fará nenhum pagamento à </w:t>
      </w:r>
      <w:r w:rsidRPr="00AD21F1">
        <w:rPr>
          <w:rFonts w:ascii="Calibri" w:eastAsia="Times New Roman" w:hAnsi="Calibri" w:cs="Arial"/>
          <w:bCs/>
          <w:sz w:val="24"/>
          <w:szCs w:val="24"/>
        </w:rPr>
        <w:t>DETENTORA</w:t>
      </w:r>
      <w:r w:rsidRPr="00AD21F1">
        <w:rPr>
          <w:rFonts w:ascii="Calibri" w:eastAsia="Times New Roman" w:hAnsi="Calibri" w:cs="Arial"/>
          <w:sz w:val="24"/>
          <w:szCs w:val="24"/>
        </w:rPr>
        <w:t xml:space="preserve">, antes de paga ou relevada </w:t>
      </w:r>
      <w:proofErr w:type="gramStart"/>
      <w:r w:rsidRPr="00AD21F1">
        <w:rPr>
          <w:rFonts w:ascii="Calibri" w:eastAsia="Times New Roman" w:hAnsi="Calibri" w:cs="Arial"/>
          <w:sz w:val="24"/>
          <w:szCs w:val="24"/>
        </w:rPr>
        <w:t>a</w:t>
      </w:r>
      <w:proofErr w:type="gramEnd"/>
      <w:r w:rsidRPr="00AD21F1">
        <w:rPr>
          <w:rFonts w:ascii="Calibri" w:eastAsia="Times New Roman" w:hAnsi="Calibri" w:cs="Arial"/>
          <w:sz w:val="24"/>
          <w:szCs w:val="24"/>
        </w:rPr>
        <w:t xml:space="preserve"> multa que porventura lhe tenha sido aplicada.</w:t>
      </w:r>
    </w:p>
    <w:p w:rsidR="00BF62A9" w:rsidRPr="00AD21F1" w:rsidRDefault="00BF62A9" w:rsidP="00BF62A9">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Os pagamentos dar-se-ão somente através de transferência bancaria em banco oficial</w:t>
      </w:r>
    </w:p>
    <w:p w:rsidR="00BF62A9" w:rsidRPr="00AD21F1" w:rsidRDefault="00BF62A9" w:rsidP="00BF62A9">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21F1">
        <w:rPr>
          <w:rFonts w:ascii="Calibri" w:eastAsia="Times New Roman" w:hAnsi="Calibri" w:cs="Arial"/>
          <w:b/>
          <w:sz w:val="24"/>
          <w:szCs w:val="24"/>
        </w:rPr>
        <w:t>CLÁUSULA QUARTA: Prazo e Condições de Entrega</w:t>
      </w:r>
    </w:p>
    <w:p w:rsidR="00BF62A9" w:rsidRPr="00AD21F1" w:rsidRDefault="00BF62A9" w:rsidP="00BF62A9">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entrega do objeto deverá ser efetuada de acordo com as necessidades da Contratante no prazo máximo de </w:t>
      </w:r>
      <w:r>
        <w:rPr>
          <w:rFonts w:ascii="Calibri" w:eastAsia="Times New Roman" w:hAnsi="Calibri" w:cs="Arial"/>
          <w:b/>
          <w:sz w:val="24"/>
          <w:szCs w:val="24"/>
        </w:rPr>
        <w:t>72 (setenta e duas) horas ou imediato quando muito necessário</w:t>
      </w:r>
      <w:r w:rsidRPr="00AD21F1">
        <w:rPr>
          <w:rFonts w:ascii="Calibri" w:eastAsia="Times New Roman" w:hAnsi="Calibri" w:cs="Arial"/>
          <w:sz w:val="24"/>
          <w:szCs w:val="24"/>
        </w:rPr>
        <w:t>, após o recebimento da Autorização de Entrega/Compra expedida pelo Setor de Competente da Prefeitura do Município de Guapirama</w:t>
      </w:r>
      <w:r>
        <w:rPr>
          <w:rFonts w:ascii="Calibri" w:eastAsia="Times New Roman" w:hAnsi="Calibri" w:cs="Arial"/>
          <w:sz w:val="24"/>
          <w:szCs w:val="24"/>
        </w:rPr>
        <w:t>.</w:t>
      </w:r>
    </w:p>
    <w:p w:rsidR="00BF62A9" w:rsidRPr="00AD21F1" w:rsidRDefault="00BF62A9" w:rsidP="00BF62A9">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O Município não está obrigado a adquirir uma quantidade mínima do material, ficando </w:t>
      </w:r>
      <w:proofErr w:type="gramStart"/>
      <w:r w:rsidRPr="00AD21F1">
        <w:rPr>
          <w:rFonts w:ascii="Calibri" w:eastAsia="Times New Roman" w:hAnsi="Calibri" w:cs="Arial"/>
          <w:sz w:val="24"/>
          <w:szCs w:val="24"/>
        </w:rPr>
        <w:t>a seu</w:t>
      </w:r>
      <w:proofErr w:type="gramEnd"/>
      <w:r w:rsidRPr="00AD21F1">
        <w:rPr>
          <w:rFonts w:ascii="Calibri" w:eastAsia="Times New Roman" w:hAnsi="Calibri" w:cs="Arial"/>
          <w:sz w:val="24"/>
          <w:szCs w:val="24"/>
        </w:rPr>
        <w:t xml:space="preserve"> exclusivo critério a definição da quantidade e do momento da aquisição.</w:t>
      </w:r>
    </w:p>
    <w:p w:rsidR="00BF62A9" w:rsidRPr="00AD21F1" w:rsidRDefault="00BF62A9" w:rsidP="00BF62A9">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BF62A9" w:rsidRPr="00AD21F1" w:rsidRDefault="00BF62A9" w:rsidP="00BF62A9">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 (s) bem (</w:t>
      </w:r>
      <w:proofErr w:type="spellStart"/>
      <w:r w:rsidRPr="00AD21F1">
        <w:rPr>
          <w:rFonts w:ascii="Calibri" w:eastAsia="Times New Roman" w:hAnsi="Calibri" w:cs="Arial"/>
          <w:sz w:val="24"/>
          <w:szCs w:val="24"/>
        </w:rPr>
        <w:t>ens</w:t>
      </w:r>
      <w:proofErr w:type="spellEnd"/>
      <w:r w:rsidRPr="00AD21F1">
        <w:rPr>
          <w:rFonts w:ascii="Calibri" w:eastAsia="Times New Roman" w:hAnsi="Calibri" w:cs="Arial"/>
          <w:sz w:val="24"/>
          <w:szCs w:val="24"/>
        </w:rPr>
        <w:t>) objeto deste edital deverá (ão) ser entregue (s) acompanhado (s) de nota (s) fiscal (</w:t>
      </w:r>
      <w:proofErr w:type="spellStart"/>
      <w:r w:rsidRPr="00AD21F1">
        <w:rPr>
          <w:rFonts w:ascii="Calibri" w:eastAsia="Times New Roman" w:hAnsi="Calibri" w:cs="Arial"/>
          <w:sz w:val="24"/>
          <w:szCs w:val="24"/>
        </w:rPr>
        <w:t>is</w:t>
      </w:r>
      <w:proofErr w:type="spellEnd"/>
      <w:r w:rsidRPr="00AD21F1">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BF62A9" w:rsidRPr="00AD21F1" w:rsidRDefault="00BF62A9" w:rsidP="00BF62A9">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BF62A9" w:rsidRPr="00AD21F1" w:rsidRDefault="00BF62A9" w:rsidP="00BF62A9">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BF62A9" w:rsidRPr="00AD21F1" w:rsidRDefault="00BF62A9" w:rsidP="00BF62A9">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A CONTRATADA obriga-se a fornecer o material a que se refere este Pregão de acordo estritamente com as especificações descritas na Autorização de Entrega, sendo </w:t>
      </w:r>
      <w:r w:rsidRPr="00AD21F1">
        <w:rPr>
          <w:rFonts w:ascii="Calibri" w:eastAsia="Times New Roman" w:hAnsi="Calibri" w:cs="Arial"/>
          <w:sz w:val="24"/>
          <w:szCs w:val="24"/>
        </w:rPr>
        <w:lastRenderedPageBreak/>
        <w:t>de sua inteira responsabilidade a substituição do produto quando constatado não estar em conformidade com as referidas especificações.</w:t>
      </w:r>
    </w:p>
    <w:p w:rsidR="00BF62A9" w:rsidRPr="00AD21F1" w:rsidRDefault="00BF62A9" w:rsidP="00BF62A9">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QUINTA: Da Vigência</w:t>
      </w:r>
    </w:p>
    <w:p w:rsidR="00BF62A9" w:rsidRPr="00AD21F1" w:rsidRDefault="00BF62A9" w:rsidP="00BF62A9">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AD21F1">
        <w:rPr>
          <w:rFonts w:ascii="Calibri" w:eastAsia="Times New Roman" w:hAnsi="Calibri" w:cs="Arial"/>
          <w:sz w:val="24"/>
          <w:szCs w:val="24"/>
        </w:rPr>
        <w:t xml:space="preserve">Esta Ata de Registro de Preços terá sua vigência iniciada na data da sua assinatura, que se estenderá pelo período de </w:t>
      </w:r>
      <w:r w:rsidRPr="00AD21F1">
        <w:rPr>
          <w:rFonts w:ascii="Calibri" w:eastAsia="Times New Roman" w:hAnsi="Calibri" w:cs="Arial"/>
          <w:b/>
          <w:sz w:val="24"/>
          <w:szCs w:val="24"/>
        </w:rPr>
        <w:t>12 (doze) meses</w:t>
      </w:r>
      <w:r w:rsidRPr="00AD21F1">
        <w:rPr>
          <w:rFonts w:ascii="Calibri" w:eastAsia="Times New Roman" w:hAnsi="Calibri" w:cs="Arial"/>
          <w:sz w:val="24"/>
          <w:szCs w:val="24"/>
        </w:rPr>
        <w:t>; nos termos do Artigo 57 da Lei 8.666/93 e Decreto Federal nº 7.892/13, Art. 12º, caput, e seus parágrafos.</w:t>
      </w:r>
    </w:p>
    <w:p w:rsidR="00BF62A9" w:rsidRPr="00AD21F1" w:rsidRDefault="00BF62A9" w:rsidP="00BF62A9">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SEXTA: Do Reajuste de Preços</w:t>
      </w:r>
    </w:p>
    <w:p w:rsidR="00BF62A9" w:rsidRPr="00AD21F1" w:rsidRDefault="00BF62A9" w:rsidP="00BF62A9">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BF62A9" w:rsidRPr="00AD21F1" w:rsidRDefault="00BF62A9" w:rsidP="00BF62A9">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BF62A9" w:rsidRPr="00AD21F1" w:rsidRDefault="00BF62A9" w:rsidP="00BF62A9">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Quando o preço registrado tornar-se superior ao praticado no mercado, o Órgão Gerenciador deverá:</w:t>
      </w:r>
    </w:p>
    <w:p w:rsidR="00BF62A9" w:rsidRPr="00AD21F1" w:rsidRDefault="00BF62A9" w:rsidP="00BF62A9">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 xml:space="preserve">Convocar o fornecedor do bem ou prestador do serviço visando </w:t>
      </w:r>
      <w:proofErr w:type="gramStart"/>
      <w:r w:rsidRPr="00AD21F1">
        <w:rPr>
          <w:rFonts w:ascii="Calibri" w:eastAsia="Times New Roman" w:hAnsi="Calibri" w:cs="Arial"/>
          <w:color w:val="000000"/>
          <w:sz w:val="24"/>
          <w:szCs w:val="24"/>
        </w:rPr>
        <w:t>a</w:t>
      </w:r>
      <w:proofErr w:type="gramEnd"/>
      <w:r w:rsidRPr="00AD21F1">
        <w:rPr>
          <w:rFonts w:ascii="Calibri" w:eastAsia="Times New Roman" w:hAnsi="Calibri" w:cs="Arial"/>
          <w:color w:val="000000"/>
          <w:sz w:val="24"/>
          <w:szCs w:val="24"/>
        </w:rPr>
        <w:t xml:space="preserve"> negociação para a redução de preços e sua adequação ao mercado;</w:t>
      </w:r>
    </w:p>
    <w:p w:rsidR="00BF62A9" w:rsidRPr="00AD21F1" w:rsidRDefault="00BF62A9" w:rsidP="00BF62A9">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BF62A9" w:rsidRPr="00AD21F1" w:rsidRDefault="00BF62A9" w:rsidP="00BF62A9">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Convocar os demais fornecedores ou prestadores de serviços, visando igual oportunidade de negociação.</w:t>
      </w:r>
    </w:p>
    <w:p w:rsidR="00BF62A9" w:rsidRPr="00AD21F1" w:rsidRDefault="00BF62A9" w:rsidP="00BF62A9">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SÉTIMA: Do Cancelamento do Preço Registrado</w:t>
      </w:r>
    </w:p>
    <w:p w:rsidR="00BF62A9" w:rsidRPr="00AD21F1" w:rsidRDefault="00BF62A9" w:rsidP="00BF62A9">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O fornecedor do bem ou prestador do serviço terá seu preço registrado cancelado quando:</w:t>
      </w:r>
    </w:p>
    <w:p w:rsidR="00BF62A9" w:rsidRPr="00AD21F1" w:rsidRDefault="00BF62A9" w:rsidP="00BF62A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Descumprir as condições da ata de registro de preços;</w:t>
      </w:r>
    </w:p>
    <w:p w:rsidR="00BF62A9" w:rsidRPr="00AD21F1" w:rsidRDefault="00BF62A9" w:rsidP="00BF62A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BF62A9" w:rsidRPr="00AD21F1" w:rsidRDefault="00BF62A9" w:rsidP="00BF62A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Não aceitar reduzir o seu preço registrado, quando este se tornar superior àqueles praticados no mercado;</w:t>
      </w:r>
    </w:p>
    <w:p w:rsidR="00BF62A9" w:rsidRPr="00AD21F1" w:rsidRDefault="00BF62A9" w:rsidP="00BF62A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BF62A9" w:rsidRPr="00AD21F1" w:rsidRDefault="00BF62A9" w:rsidP="00BF62A9">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21F1">
        <w:rPr>
          <w:rFonts w:ascii="Calibri" w:eastAsia="Times New Roman" w:hAnsi="Calibri" w:cs="Arial"/>
          <w:color w:val="000000"/>
          <w:sz w:val="24"/>
          <w:szCs w:val="24"/>
        </w:rPr>
        <w:t>For impedido de licitar e contratar com a Administração nos termos do artigo 7º da Lei Federal nº 10.520, de 17 de julho de 2002.</w:t>
      </w:r>
    </w:p>
    <w:p w:rsidR="00BF62A9" w:rsidRPr="00AD21F1" w:rsidRDefault="00BF62A9" w:rsidP="00BF62A9">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lastRenderedPageBreak/>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BF62A9" w:rsidRPr="00AD21F1" w:rsidRDefault="00BF62A9" w:rsidP="00BF62A9">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BF62A9" w:rsidRPr="00AD21F1" w:rsidRDefault="00BF62A9" w:rsidP="00BF62A9">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BF62A9" w:rsidRPr="00AD21F1" w:rsidRDefault="00BF62A9" w:rsidP="00BF62A9">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21F1">
        <w:rPr>
          <w:rFonts w:ascii="Calibri" w:eastAsia="Times New Roman" w:hAnsi="Calibri" w:cs="Arial"/>
          <w:b/>
          <w:sz w:val="24"/>
          <w:szCs w:val="24"/>
        </w:rPr>
        <w:t>CLÁUSULA OITAVA: Da Garantia</w:t>
      </w:r>
    </w:p>
    <w:p w:rsidR="00BF62A9" w:rsidRPr="00AD21F1" w:rsidRDefault="00BF62A9" w:rsidP="00BF62A9">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AD21F1">
        <w:rPr>
          <w:rFonts w:ascii="Calibri" w:eastAsia="Times New Roman" w:hAnsi="Calibri" w:cs="Arial"/>
          <w:color w:val="000000"/>
          <w:sz w:val="24"/>
          <w:szCs w:val="24"/>
        </w:rPr>
        <w:t>A CONTRATADA se obriga a prestar garantia dos produtos cotados, na forma da Lei.</w:t>
      </w:r>
    </w:p>
    <w:p w:rsidR="00BF62A9" w:rsidRDefault="00BF62A9" w:rsidP="00BF62A9">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F62A9" w:rsidRPr="00AD21F1" w:rsidRDefault="00BF62A9" w:rsidP="00BF62A9">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NONA: Das Obrigações da Contratante</w:t>
      </w:r>
    </w:p>
    <w:p w:rsidR="00BF62A9" w:rsidRPr="00AD21F1" w:rsidRDefault="00BF62A9" w:rsidP="00BF62A9">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CONTRATANTE obrigar-se-á:</w:t>
      </w:r>
    </w:p>
    <w:p w:rsidR="00BF62A9" w:rsidRPr="00AD21F1" w:rsidRDefault="00BF62A9" w:rsidP="00BF62A9">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BF62A9" w:rsidRPr="00AD21F1" w:rsidRDefault="00BF62A9" w:rsidP="00BF62A9">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BF62A9" w:rsidRPr="00AD21F1" w:rsidRDefault="00BF62A9" w:rsidP="00BF62A9">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Providenciar os pagamentos à CONTRATADA à vista das Notas Fiscais Eletrônicas/Faturas; devidamente atestadas nos prazos fixados.</w:t>
      </w:r>
    </w:p>
    <w:p w:rsidR="00BF62A9" w:rsidRPr="00AD21F1" w:rsidRDefault="00BF62A9" w:rsidP="00BF62A9">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F62A9" w:rsidRPr="00AD21F1" w:rsidRDefault="00BF62A9" w:rsidP="00BF62A9">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Das Obrigações da Contratada</w:t>
      </w:r>
    </w:p>
    <w:p w:rsidR="00BF62A9" w:rsidRPr="00AD21F1" w:rsidRDefault="00BF62A9" w:rsidP="00BF62A9">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CONTRATADA obrigar-se-á:</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Executar o Objeto referente ao Edital do Pregão, de acordo estritamente com as especificações descritas no mesmo;</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AD21F1">
        <w:rPr>
          <w:rFonts w:ascii="Calibri" w:eastAsia="Times New Roman" w:hAnsi="Calibri" w:cs="Arial"/>
          <w:sz w:val="24"/>
          <w:szCs w:val="24"/>
          <w:lang w:eastAsia="pt-BR"/>
        </w:rPr>
        <w:t>a seu</w:t>
      </w:r>
      <w:proofErr w:type="gramEnd"/>
      <w:r w:rsidRPr="00AD21F1">
        <w:rPr>
          <w:rFonts w:ascii="Calibri" w:eastAsia="Times New Roman" w:hAnsi="Calibri" w:cs="Arial"/>
          <w:sz w:val="24"/>
          <w:szCs w:val="24"/>
          <w:lang w:eastAsia="pt-BR"/>
        </w:rPr>
        <w:t xml:space="preserve"> exclusivo critério a aceitabilidade; independente de aplicação das penalidades prevista em lei;</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Assumir inteira responsabilidade com todas as despesas diretas e indiretas referentes ao fornecimento do objeto, inclusive da sua entrega até a sede da </w:t>
      </w:r>
      <w:r w:rsidRPr="00AD21F1">
        <w:rPr>
          <w:rFonts w:ascii="Calibri" w:eastAsia="Times New Roman" w:hAnsi="Calibri" w:cs="Arial"/>
          <w:sz w:val="24"/>
          <w:szCs w:val="24"/>
          <w:lang w:eastAsia="pt-BR"/>
        </w:rPr>
        <w:lastRenderedPageBreak/>
        <w:t>licitada ou local por ela indicada; bem como pela reposição dos serviços que venha a ser constatado não estar em conformidade com as referidas especificações, nos termos do Art. 69, da Lei 8.666/93;</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BF62A9" w:rsidRPr="00AD21F1" w:rsidRDefault="00BF62A9" w:rsidP="00BF62A9">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BF62A9" w:rsidRPr="00AD21F1" w:rsidRDefault="00BF62A9" w:rsidP="00BF62A9">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BF62A9" w:rsidRPr="00AD21F1" w:rsidRDefault="00BF62A9" w:rsidP="00BF62A9">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PRIMEIRA: Da Fiscalização</w:t>
      </w:r>
    </w:p>
    <w:p w:rsidR="00BF62A9" w:rsidRPr="00AD21F1" w:rsidRDefault="00BF62A9" w:rsidP="00BF62A9">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21F1">
        <w:rPr>
          <w:rFonts w:ascii="Calibri" w:eastAsia="Times New Roman" w:hAnsi="Calibri" w:cs="Arial"/>
          <w:b/>
          <w:sz w:val="24"/>
          <w:szCs w:val="24"/>
        </w:rPr>
        <w:t xml:space="preserve">11.1. </w:t>
      </w:r>
      <w:r w:rsidRPr="00AD21F1">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BF62A9" w:rsidRPr="00AD21F1" w:rsidRDefault="00BF62A9" w:rsidP="00BF62A9">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fiscalização terá poderes para:</w:t>
      </w:r>
    </w:p>
    <w:p w:rsidR="00BF62A9" w:rsidRPr="00AD21F1" w:rsidRDefault="00BF62A9" w:rsidP="00BF62A9">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Recusar serviços que não obedeçam às especificações, como disposto no edital do Pregão;</w:t>
      </w:r>
    </w:p>
    <w:p w:rsidR="00BF62A9" w:rsidRPr="00AD21F1" w:rsidRDefault="00BF62A9" w:rsidP="00BF62A9">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Transmitir a CONTRATADA as determinações e instruções da Secretaria Solicitante;</w:t>
      </w:r>
    </w:p>
    <w:p w:rsidR="00BF62A9" w:rsidRPr="00AD21F1" w:rsidRDefault="00BF62A9" w:rsidP="00BF62A9">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BF62A9" w:rsidRPr="00AD21F1" w:rsidRDefault="00BF62A9" w:rsidP="00BF62A9">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Praticar quaisquer atos, nos limites do contrato, que se destinem a preservar todo e qualquer direito do Município de Guapirama;</w:t>
      </w:r>
    </w:p>
    <w:p w:rsidR="00BF62A9" w:rsidRPr="00AD21F1" w:rsidRDefault="00BF62A9" w:rsidP="00BF62A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11.3.</w:t>
      </w:r>
      <w:r w:rsidRPr="00AD21F1">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BF62A9" w:rsidRPr="00AD21F1" w:rsidRDefault="00BF62A9" w:rsidP="00BF62A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11.4.</w:t>
      </w:r>
      <w:r w:rsidRPr="00AD21F1">
        <w:rPr>
          <w:rFonts w:ascii="Calibri" w:eastAsia="Times New Roman" w:hAnsi="Calibri" w:cs="Arial"/>
          <w:sz w:val="24"/>
          <w:szCs w:val="24"/>
          <w:lang w:eastAsia="pt-BR"/>
        </w:rPr>
        <w:tab/>
        <w:t>A ação da fiscalização não diminui a completa responsabilidade da CONTRATADA pelo fornecimento dos bens, ora licitados.</w:t>
      </w:r>
    </w:p>
    <w:p w:rsidR="00BF62A9" w:rsidRPr="00AD21F1" w:rsidRDefault="00BF62A9" w:rsidP="00BF62A9">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BF62A9" w:rsidRPr="00AD21F1" w:rsidRDefault="00BF62A9" w:rsidP="00BF62A9">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SEGUNDA: Das Contratações e Sanções Administrativas</w:t>
      </w:r>
    </w:p>
    <w:p w:rsidR="00BF62A9" w:rsidRPr="00AD21F1" w:rsidRDefault="00BF62A9" w:rsidP="00BF62A9">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12.1.</w:t>
      </w:r>
      <w:r w:rsidRPr="00AD21F1">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BF62A9" w:rsidRPr="00AD21F1" w:rsidRDefault="00BF62A9" w:rsidP="00BF62A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12.2.</w:t>
      </w:r>
      <w:r w:rsidRPr="00AD21F1">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BF62A9" w:rsidRPr="00AD21F1" w:rsidRDefault="00BF62A9" w:rsidP="00BF62A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12.3.</w:t>
      </w:r>
      <w:r w:rsidRPr="00AD21F1">
        <w:rPr>
          <w:rFonts w:ascii="Calibri" w:eastAsia="Times New Roman" w:hAnsi="Calibri" w:cs="Arial"/>
          <w:sz w:val="24"/>
          <w:szCs w:val="24"/>
          <w:lang w:eastAsia="pt-BR"/>
        </w:rPr>
        <w:tab/>
        <w:t xml:space="preserve">Se o fornecedor com preço registrado, em primeiro lugar recusar-se a </w:t>
      </w:r>
      <w:r w:rsidRPr="00AD21F1">
        <w:rPr>
          <w:rFonts w:ascii="Calibri" w:eastAsia="Times New Roman" w:hAnsi="Calibri" w:cs="Arial"/>
          <w:sz w:val="24"/>
          <w:szCs w:val="24"/>
          <w:lang w:eastAsia="pt-BR"/>
        </w:rPr>
        <w:lastRenderedPageBreak/>
        <w:t>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BF62A9" w:rsidRPr="00AD21F1" w:rsidRDefault="00BF62A9" w:rsidP="00BF62A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12.4.</w:t>
      </w:r>
      <w:r w:rsidRPr="00AD21F1">
        <w:rPr>
          <w:rFonts w:ascii="Calibri" w:eastAsia="Times New Roman" w:hAnsi="Calibri" w:cs="Arial"/>
          <w:sz w:val="24"/>
          <w:szCs w:val="24"/>
          <w:lang w:eastAsia="pt-BR"/>
        </w:rPr>
        <w:tab/>
        <w:t xml:space="preserve">Pela inexecução total ou parcial deste instrumento, a CONTRATANTE </w:t>
      </w:r>
      <w:proofErr w:type="gramStart"/>
      <w:r w:rsidRPr="00AD21F1">
        <w:rPr>
          <w:rFonts w:ascii="Calibri" w:eastAsia="Times New Roman" w:hAnsi="Calibri" w:cs="Arial"/>
          <w:sz w:val="24"/>
          <w:szCs w:val="24"/>
          <w:lang w:eastAsia="pt-BR"/>
        </w:rPr>
        <w:t>poderá,</w:t>
      </w:r>
      <w:proofErr w:type="gramEnd"/>
      <w:r w:rsidRPr="00AD21F1">
        <w:rPr>
          <w:rFonts w:ascii="Calibri" w:eastAsia="Times New Roman" w:hAnsi="Calibri" w:cs="Arial"/>
          <w:sz w:val="24"/>
          <w:szCs w:val="24"/>
          <w:lang w:eastAsia="pt-BR"/>
        </w:rPr>
        <w:t xml:space="preserve"> garantida a prévia defesa, aplicar à CONTRATADA as seguintes sanções, segundo a gravidade da falta cometida:</w:t>
      </w:r>
    </w:p>
    <w:p w:rsidR="00BF62A9" w:rsidRPr="00AD21F1" w:rsidRDefault="00BF62A9" w:rsidP="00BF62A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Advertência escrita:</w:t>
      </w:r>
    </w:p>
    <w:p w:rsidR="00BF62A9" w:rsidRPr="00AD21F1" w:rsidRDefault="00BF62A9" w:rsidP="00BF62A9">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BF62A9" w:rsidRPr="00AD21F1" w:rsidRDefault="00BF62A9" w:rsidP="00BF62A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Multas:</w:t>
      </w:r>
    </w:p>
    <w:p w:rsidR="00BF62A9" w:rsidRPr="00AD21F1" w:rsidRDefault="00BF62A9" w:rsidP="00BF62A9">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BF62A9" w:rsidRPr="00AD21F1" w:rsidRDefault="00BF62A9" w:rsidP="00BF62A9">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BF62A9" w:rsidRPr="00AD21F1" w:rsidRDefault="00BF62A9" w:rsidP="00BF62A9">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BF62A9" w:rsidRPr="00AD21F1" w:rsidRDefault="00BF62A9" w:rsidP="00BF62A9">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O atraso injustificado na execução do fornecimento, que exceder ao prazo fixado, sem prejuízo do disposto no </w:t>
      </w:r>
      <w:r w:rsidRPr="00AD21F1">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BF62A9" w:rsidRPr="00AD21F1" w:rsidRDefault="00BF62A9" w:rsidP="00BF62A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Atraso de até </w:t>
      </w:r>
      <w:proofErr w:type="gramStart"/>
      <w:r w:rsidRPr="00AD21F1">
        <w:rPr>
          <w:rFonts w:ascii="Calibri" w:eastAsia="Times New Roman" w:hAnsi="Calibri" w:cs="Arial"/>
          <w:sz w:val="24"/>
          <w:szCs w:val="24"/>
          <w:lang w:eastAsia="pt-BR"/>
        </w:rPr>
        <w:t>5</w:t>
      </w:r>
      <w:proofErr w:type="gramEnd"/>
      <w:r w:rsidRPr="00AD21F1">
        <w:rPr>
          <w:rFonts w:ascii="Calibri" w:eastAsia="Times New Roman" w:hAnsi="Calibri" w:cs="Arial"/>
          <w:sz w:val="24"/>
          <w:szCs w:val="24"/>
          <w:lang w:eastAsia="pt-BR"/>
        </w:rPr>
        <w:t xml:space="preserve"> dias, multa de 0,1%, por dia de atraso;</w:t>
      </w:r>
    </w:p>
    <w:p w:rsidR="00BF62A9" w:rsidRPr="00AD21F1" w:rsidRDefault="00BF62A9" w:rsidP="00BF62A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Atraso de 6 a 15 dias, multa de 0,2%, por dia de atraso;</w:t>
      </w:r>
    </w:p>
    <w:p w:rsidR="00BF62A9" w:rsidRPr="00AD21F1" w:rsidRDefault="00BF62A9" w:rsidP="00BF62A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Atraso de 16 a 30 dias, multa de 0,4%, por dia de atraso;</w:t>
      </w:r>
    </w:p>
    <w:p w:rsidR="00BF62A9" w:rsidRPr="00AD21F1" w:rsidRDefault="00BF62A9" w:rsidP="00BF62A9">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Atraso superior a 30 dias, multa de 0,9% por dia de atraso.</w:t>
      </w:r>
    </w:p>
    <w:p w:rsidR="00BF62A9" w:rsidRPr="00AD21F1" w:rsidRDefault="00BF62A9" w:rsidP="00BF62A9">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BF62A9" w:rsidRPr="00AD21F1" w:rsidRDefault="00BF62A9" w:rsidP="00BF62A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Suspensão Temporária</w:t>
      </w:r>
    </w:p>
    <w:p w:rsidR="00BF62A9" w:rsidRPr="00AD21F1" w:rsidRDefault="00BF62A9" w:rsidP="00BF62A9">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AD21F1">
        <w:rPr>
          <w:rFonts w:ascii="Calibri" w:eastAsia="Times New Roman" w:hAnsi="Calibri" w:cs="Arial"/>
          <w:sz w:val="24"/>
          <w:szCs w:val="24"/>
          <w:lang w:eastAsia="pt-BR"/>
        </w:rPr>
        <w:t>2</w:t>
      </w:r>
      <w:proofErr w:type="gramEnd"/>
      <w:r w:rsidRPr="00AD21F1">
        <w:rPr>
          <w:rFonts w:ascii="Calibri" w:eastAsia="Times New Roman" w:hAnsi="Calibri" w:cs="Arial"/>
          <w:sz w:val="24"/>
          <w:szCs w:val="24"/>
          <w:lang w:eastAsia="pt-BR"/>
        </w:rPr>
        <w:t xml:space="preserve"> (dois)anos;</w:t>
      </w:r>
    </w:p>
    <w:p w:rsidR="00BF62A9" w:rsidRPr="00AD21F1" w:rsidRDefault="00BF62A9" w:rsidP="00BF62A9">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21F1">
        <w:rPr>
          <w:rFonts w:ascii="Calibri" w:eastAsia="Times New Roman" w:hAnsi="Calibri" w:cs="Arial"/>
          <w:b/>
          <w:sz w:val="24"/>
          <w:szCs w:val="24"/>
          <w:lang w:eastAsia="pt-BR"/>
        </w:rPr>
        <w:t>Declaração de Inidoneidade</w:t>
      </w:r>
    </w:p>
    <w:p w:rsidR="00BF62A9" w:rsidRPr="00AD21F1" w:rsidRDefault="00BF62A9" w:rsidP="00BF62A9">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w:t>
      </w:r>
      <w:r w:rsidRPr="00AD21F1">
        <w:rPr>
          <w:rFonts w:ascii="Calibri" w:eastAsia="Times New Roman" w:hAnsi="Calibri" w:cs="Arial"/>
          <w:sz w:val="24"/>
          <w:szCs w:val="24"/>
          <w:lang w:eastAsia="pt-BR"/>
        </w:rPr>
        <w:lastRenderedPageBreak/>
        <w:t xml:space="preserve">a própria autoridade que aplicou a penalidade, que será concedida sempre que o contratado ressarcir a Administração pelos prejuízos resultantes e </w:t>
      </w:r>
      <w:proofErr w:type="gramStart"/>
      <w:r w:rsidRPr="00AD21F1">
        <w:rPr>
          <w:rFonts w:ascii="Calibri" w:eastAsia="Times New Roman" w:hAnsi="Calibri" w:cs="Arial"/>
          <w:sz w:val="24"/>
          <w:szCs w:val="24"/>
          <w:lang w:eastAsia="pt-BR"/>
        </w:rPr>
        <w:t>após</w:t>
      </w:r>
      <w:proofErr w:type="gramEnd"/>
      <w:r w:rsidRPr="00AD21F1">
        <w:rPr>
          <w:rFonts w:ascii="Calibri" w:eastAsia="Times New Roman" w:hAnsi="Calibri" w:cs="Arial"/>
          <w:sz w:val="24"/>
          <w:szCs w:val="24"/>
          <w:lang w:eastAsia="pt-BR"/>
        </w:rPr>
        <w:t xml:space="preserve"> decorrido o prazo da sanção aplicada com base no inciso anterior.</w:t>
      </w:r>
    </w:p>
    <w:p w:rsidR="00BF62A9" w:rsidRPr="00AD21F1" w:rsidRDefault="00BF62A9" w:rsidP="00BF62A9">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AD21F1">
        <w:rPr>
          <w:rFonts w:ascii="Calibri" w:eastAsia="Times New Roman" w:hAnsi="Calibri" w:cs="Arial"/>
          <w:sz w:val="24"/>
          <w:szCs w:val="24"/>
          <w:lang w:eastAsia="pt-BR"/>
        </w:rPr>
        <w:t>5</w:t>
      </w:r>
      <w:proofErr w:type="gramEnd"/>
      <w:r w:rsidRPr="00AD21F1">
        <w:rPr>
          <w:rFonts w:ascii="Calibri" w:eastAsia="Times New Roman" w:hAnsi="Calibri" w:cs="Arial"/>
          <w:sz w:val="24"/>
          <w:szCs w:val="24"/>
          <w:lang w:eastAsia="pt-BR"/>
        </w:rPr>
        <w:t xml:space="preserve"> (cinco) anos, sem prejuízo das multas previstas em edital e no contrato e das demais cominações legais.</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Na aplicação das penalidades previstas no Edital, o Município considerará, motivadamente, a gravidade da falta, seus efeitos, bem como os antecedentes do detentor ou contratado, podendo deixar de aplicá-las, se admitidas as suas </w:t>
      </w:r>
      <w:r w:rsidRPr="00AD21F1">
        <w:rPr>
          <w:rFonts w:ascii="Calibri" w:eastAsia="Times New Roman" w:hAnsi="Calibri" w:cs="Arial"/>
          <w:sz w:val="24"/>
          <w:szCs w:val="24"/>
          <w:lang w:eastAsia="pt-BR"/>
        </w:rPr>
        <w:lastRenderedPageBreak/>
        <w:t>justificativas, nos termos do que dispõe o artigo 87, “caput”, da Lei nº 8.666/93.</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As penalidades serão registradas no cadastro do licitante, quando for ocaso.</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licitante estará ainda sujeita as penalidades dos artigos 90 a 97 da Lei 8.666/93;</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Sujeita ainda a licitante, as penalidades impostas pelos artigos 78 a 81, seus parágrafos e incisos, da Lei 8.666/93;</w:t>
      </w:r>
    </w:p>
    <w:p w:rsidR="00BF62A9" w:rsidRPr="00AD21F1" w:rsidRDefault="00BF62A9" w:rsidP="00BF62A9">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AD21F1">
        <w:rPr>
          <w:rFonts w:ascii="Calibri" w:eastAsia="Times New Roman" w:hAnsi="Calibri" w:cs="Arial"/>
          <w:sz w:val="24"/>
          <w:szCs w:val="24"/>
          <w:lang w:eastAsia="pt-BR"/>
        </w:rPr>
        <w:t>A critério</w:t>
      </w:r>
      <w:proofErr w:type="gramEnd"/>
      <w:r w:rsidRPr="00AD21F1">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 xml:space="preserve">CLÁUSULA DÉCIMA TERCEIRA: Da Anulação, Revogação ou </w:t>
      </w:r>
      <w:proofErr w:type="gramStart"/>
      <w:r w:rsidRPr="00AD21F1">
        <w:rPr>
          <w:rFonts w:ascii="Calibri" w:eastAsia="Times New Roman" w:hAnsi="Calibri" w:cs="Arial"/>
          <w:b/>
          <w:sz w:val="24"/>
          <w:szCs w:val="24"/>
        </w:rPr>
        <w:t>Rescisão</w:t>
      </w:r>
      <w:proofErr w:type="gramEnd"/>
    </w:p>
    <w:p w:rsidR="00BF62A9" w:rsidRPr="00AD21F1" w:rsidRDefault="00BF62A9" w:rsidP="00BF62A9">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BF62A9" w:rsidRPr="00AD21F1" w:rsidRDefault="00BF62A9" w:rsidP="00BF62A9">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BF62A9" w:rsidRPr="00AD21F1" w:rsidRDefault="00BF62A9" w:rsidP="00BF62A9">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AD21F1">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AD21F1">
        <w:rPr>
          <w:rFonts w:ascii="Calibri" w:eastAsia="Times New Roman" w:hAnsi="Calibri" w:cs="Arial"/>
          <w:b/>
          <w:sz w:val="24"/>
          <w:szCs w:val="24"/>
          <w:lang w:eastAsia="pt-BR"/>
        </w:rPr>
        <w:t>.</w:t>
      </w: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sz w:val="24"/>
          <w:szCs w:val="24"/>
        </w:rPr>
      </w:pPr>
      <w:r w:rsidRPr="00AD21F1">
        <w:rPr>
          <w:rFonts w:ascii="Calibri" w:eastAsia="Times New Roman" w:hAnsi="Calibri" w:cs="Arial"/>
          <w:b/>
          <w:sz w:val="24"/>
          <w:szCs w:val="24"/>
        </w:rPr>
        <w:t>CLÁUSULA DÉCIMA QUARTA: Da Fraude e da Corrupção</w:t>
      </w:r>
    </w:p>
    <w:p w:rsidR="00BF62A9" w:rsidRPr="00AD21F1" w:rsidRDefault="00BF62A9" w:rsidP="00BF62A9">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BF62A9" w:rsidRPr="00AD21F1" w:rsidRDefault="00BF62A9" w:rsidP="00BF62A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14.2.</w:t>
      </w:r>
      <w:r w:rsidRPr="00AD21F1">
        <w:rPr>
          <w:rFonts w:ascii="Calibri" w:eastAsia="Times New Roman" w:hAnsi="Calibri" w:cs="Arial"/>
          <w:sz w:val="24"/>
          <w:szCs w:val="24"/>
          <w:lang w:eastAsia="pt-BR"/>
        </w:rPr>
        <w:tab/>
        <w:t>Para os propósitos desta cláusula, definem-se as seguintes práticas:</w:t>
      </w:r>
    </w:p>
    <w:p w:rsidR="00BF62A9" w:rsidRPr="00AD21F1" w:rsidRDefault="00BF62A9" w:rsidP="00BF62A9">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corrupta</w:t>
      </w:r>
      <w:r w:rsidRPr="00AD21F1">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BF62A9" w:rsidRPr="00AD21F1" w:rsidRDefault="00BF62A9" w:rsidP="00BF62A9">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fraudulenta</w:t>
      </w:r>
      <w:r w:rsidRPr="00AD21F1">
        <w:rPr>
          <w:rFonts w:ascii="Calibri" w:eastAsia="Times New Roman" w:hAnsi="Calibri" w:cs="Arial"/>
          <w:sz w:val="24"/>
          <w:szCs w:val="24"/>
          <w:lang w:eastAsia="pt-BR"/>
        </w:rPr>
        <w:t>”: a falsificação ou omissão dos fatos, com o objetivo de influenciar o processo de licitação ou de execução de contrato;</w:t>
      </w:r>
    </w:p>
    <w:p w:rsidR="00BF62A9" w:rsidRPr="00AD21F1" w:rsidRDefault="00BF62A9" w:rsidP="00BF62A9">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lastRenderedPageBreak/>
        <w:t xml:space="preserve"> “</w:t>
      </w:r>
      <w:r w:rsidRPr="00AD21F1">
        <w:rPr>
          <w:rFonts w:ascii="Calibri" w:eastAsia="Times New Roman" w:hAnsi="Calibri" w:cs="Arial"/>
          <w:b/>
          <w:sz w:val="24"/>
          <w:szCs w:val="24"/>
          <w:lang w:eastAsia="pt-BR"/>
        </w:rPr>
        <w:t>prática colusivas</w:t>
      </w:r>
      <w:r w:rsidRPr="00AD21F1">
        <w:rPr>
          <w:rFonts w:ascii="Calibri" w:eastAsia="Times New Roman" w:hAnsi="Calibri" w:cs="Arial"/>
          <w:sz w:val="24"/>
          <w:szCs w:val="24"/>
          <w:lang w:eastAsia="pt-BR"/>
        </w:rPr>
        <w:t>”:</w:t>
      </w:r>
      <w:r w:rsidRPr="00AD21F1">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BF62A9" w:rsidRPr="00AD21F1" w:rsidRDefault="00BF62A9" w:rsidP="00BF62A9">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coercitiva</w:t>
      </w:r>
      <w:r w:rsidRPr="00AD21F1">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BF62A9" w:rsidRPr="00AD21F1" w:rsidRDefault="00BF62A9" w:rsidP="00BF62A9">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w:t>
      </w:r>
      <w:r w:rsidRPr="00AD21F1">
        <w:rPr>
          <w:rFonts w:ascii="Calibri" w:eastAsia="Times New Roman" w:hAnsi="Calibri" w:cs="Arial"/>
          <w:b/>
          <w:sz w:val="24"/>
          <w:szCs w:val="24"/>
          <w:lang w:eastAsia="pt-BR"/>
        </w:rPr>
        <w:t>prática obstrutiva</w:t>
      </w:r>
      <w:r w:rsidRPr="00AD21F1">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AD21F1">
        <w:rPr>
          <w:rFonts w:ascii="Calibri" w:eastAsia="Times New Roman" w:hAnsi="Calibri" w:cs="Arial"/>
          <w:sz w:val="24"/>
          <w:szCs w:val="24"/>
          <w:lang w:eastAsia="pt-BR"/>
        </w:rPr>
        <w:t>a</w:t>
      </w:r>
      <w:proofErr w:type="gramEnd"/>
      <w:r w:rsidRPr="00AD21F1">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BF62A9" w:rsidRPr="00AD21F1" w:rsidRDefault="00BF62A9" w:rsidP="00BF62A9">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21F1">
        <w:rPr>
          <w:rFonts w:ascii="Calibri" w:eastAsia="Times New Roman" w:hAnsi="Calibri" w:cs="Arial"/>
          <w:b/>
          <w:sz w:val="24"/>
          <w:szCs w:val="24"/>
          <w:lang w:eastAsia="pt-BR"/>
        </w:rPr>
        <w:t>14.3.</w:t>
      </w:r>
      <w:r w:rsidRPr="00AD21F1">
        <w:rPr>
          <w:rFonts w:ascii="Calibri" w:eastAsia="Times New Roman" w:hAnsi="Calibri" w:cs="Arial"/>
          <w:b/>
          <w:sz w:val="24"/>
          <w:szCs w:val="24"/>
          <w:lang w:eastAsia="pt-BR"/>
        </w:rPr>
        <w:tab/>
      </w:r>
      <w:r w:rsidRPr="00AD21F1">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BF62A9" w:rsidRPr="00AD21F1" w:rsidRDefault="00BF62A9" w:rsidP="00BF62A9">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QUINTA: Das Condições Gerais</w:t>
      </w:r>
    </w:p>
    <w:p w:rsidR="00BF62A9" w:rsidRPr="00AD21F1" w:rsidRDefault="00BF62A9" w:rsidP="00BF62A9">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BF62A9" w:rsidRPr="00AD21F1" w:rsidRDefault="00BF62A9" w:rsidP="00BF62A9">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O licitante vencedor deverá assinar a presente Ata de Registro de Preços, </w:t>
      </w:r>
      <w:proofErr w:type="gramStart"/>
      <w:r w:rsidRPr="00AD21F1">
        <w:rPr>
          <w:rFonts w:ascii="Calibri" w:eastAsia="Times New Roman" w:hAnsi="Calibri" w:cs="Arial"/>
          <w:sz w:val="24"/>
          <w:szCs w:val="24"/>
          <w:lang w:eastAsia="pt-BR"/>
        </w:rPr>
        <w:t>sob pena</w:t>
      </w:r>
      <w:proofErr w:type="gramEnd"/>
      <w:r w:rsidRPr="00AD21F1">
        <w:rPr>
          <w:rFonts w:ascii="Calibri" w:eastAsia="Times New Roman" w:hAnsi="Calibri" w:cs="Arial"/>
          <w:sz w:val="24"/>
          <w:szCs w:val="24"/>
          <w:lang w:eastAsia="pt-BR"/>
        </w:rPr>
        <w:t xml:space="preserve"> de decair do direito ao registro de preços.</w:t>
      </w:r>
    </w:p>
    <w:p w:rsidR="00BF62A9" w:rsidRPr="00AD21F1" w:rsidRDefault="00BF62A9" w:rsidP="00BF62A9">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AD21F1">
        <w:rPr>
          <w:rFonts w:ascii="Calibri" w:eastAsia="Times New Roman" w:hAnsi="Calibri" w:cs="Arial"/>
          <w:spacing w:val="2"/>
          <w:sz w:val="24"/>
          <w:szCs w:val="24"/>
          <w:lang w:eastAsia="pt-BR"/>
        </w:rPr>
        <w:t xml:space="preserve">seus </w:t>
      </w:r>
      <w:r w:rsidRPr="00AD21F1">
        <w:rPr>
          <w:rFonts w:ascii="Calibri" w:eastAsia="Times New Roman" w:hAnsi="Calibri" w:cs="Arial"/>
          <w:sz w:val="24"/>
          <w:szCs w:val="24"/>
          <w:lang w:eastAsia="pt-BR"/>
        </w:rPr>
        <w:t>anexos, a proposta da contratada, bem como a Ata da sessão Pública do Pregão, independente de transcrição.</w:t>
      </w:r>
    </w:p>
    <w:p w:rsidR="00BF62A9" w:rsidRDefault="00BF62A9" w:rsidP="00BF62A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F62A9" w:rsidRDefault="00BF62A9" w:rsidP="00BF62A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SEXTA: Dos Casos Omissos</w:t>
      </w:r>
    </w:p>
    <w:p w:rsidR="00BF62A9" w:rsidRPr="00AD21F1" w:rsidRDefault="00BF62A9" w:rsidP="00BF62A9">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21F1">
        <w:rPr>
          <w:rFonts w:ascii="Calibri" w:eastAsia="Times New Roman" w:hAnsi="Calibri" w:cs="Arial"/>
          <w:b/>
          <w:sz w:val="24"/>
          <w:szCs w:val="24"/>
        </w:rPr>
        <w:lastRenderedPageBreak/>
        <w:t xml:space="preserve">16.1. </w:t>
      </w:r>
      <w:r w:rsidRPr="00AD21F1">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BF62A9" w:rsidRPr="00AD21F1" w:rsidRDefault="00BF62A9" w:rsidP="00BF62A9">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21F1">
        <w:rPr>
          <w:rFonts w:ascii="Calibri" w:eastAsia="Times New Roman" w:hAnsi="Calibri" w:cs="Arial"/>
          <w:b/>
          <w:sz w:val="24"/>
          <w:szCs w:val="24"/>
        </w:rPr>
        <w:t>CLÁUSULA DÉCIMA SÉTIMA: Do Foro</w:t>
      </w:r>
    </w:p>
    <w:p w:rsidR="00BF62A9" w:rsidRPr="00AD21F1" w:rsidRDefault="00BF62A9" w:rsidP="00BF62A9">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Fica eleito o foro da comarca de Joaquim Távora (PR), para </w:t>
      </w:r>
      <w:proofErr w:type="gramStart"/>
      <w:r w:rsidRPr="00AD21F1">
        <w:rPr>
          <w:rFonts w:ascii="Calibri" w:eastAsia="Times New Roman" w:hAnsi="Calibri" w:cs="Arial"/>
          <w:sz w:val="24"/>
          <w:szCs w:val="24"/>
          <w:lang w:eastAsia="pt-BR"/>
        </w:rPr>
        <w:t>dirimir dúvidas</w:t>
      </w:r>
      <w:proofErr w:type="gramEnd"/>
      <w:r w:rsidRPr="00AD21F1">
        <w:rPr>
          <w:rFonts w:ascii="Calibri" w:eastAsia="Times New Roman" w:hAnsi="Calibri" w:cs="Arial"/>
          <w:sz w:val="24"/>
          <w:szCs w:val="24"/>
          <w:lang w:eastAsia="pt-BR"/>
        </w:rPr>
        <w:t xml:space="preserve"> ou questões oriundas da presente Ata e dos Contratos oriundos da mesma;</w:t>
      </w:r>
    </w:p>
    <w:p w:rsidR="00BF62A9" w:rsidRPr="00AD21F1" w:rsidRDefault="00BF62A9" w:rsidP="00BF62A9">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AD21F1">
        <w:rPr>
          <w:rFonts w:ascii="Calibri" w:eastAsia="Times New Roman" w:hAnsi="Calibri" w:cs="Arial"/>
          <w:sz w:val="24"/>
          <w:szCs w:val="24"/>
          <w:lang w:eastAsia="pt-BR"/>
        </w:rPr>
        <w:t xml:space="preserve">E por estarem assim justos e pactuados, firmam </w:t>
      </w:r>
      <w:proofErr w:type="gramStart"/>
      <w:r w:rsidRPr="00AD21F1">
        <w:rPr>
          <w:rFonts w:ascii="Calibri" w:eastAsia="Times New Roman" w:hAnsi="Calibri" w:cs="Arial"/>
          <w:sz w:val="24"/>
          <w:szCs w:val="24"/>
          <w:lang w:eastAsia="pt-BR"/>
        </w:rPr>
        <w:t>a presente</w:t>
      </w:r>
      <w:proofErr w:type="gramEnd"/>
      <w:r w:rsidRPr="00AD21F1">
        <w:rPr>
          <w:rFonts w:ascii="Calibri" w:eastAsia="Times New Roman" w:hAnsi="Calibri" w:cs="Arial"/>
          <w:sz w:val="24"/>
          <w:szCs w:val="24"/>
          <w:lang w:eastAsia="pt-BR"/>
        </w:rPr>
        <w:t xml:space="preserve"> Ata, em 02 (duas) vias de igual teor e forma na presença de 02 (duas) testemunhas abaixo arroladas:</w:t>
      </w: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F62A9" w:rsidRPr="00AD21F1" w:rsidRDefault="00BF62A9" w:rsidP="00BF62A9">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BF62A9" w:rsidRPr="00AD21F1" w:rsidRDefault="00BF62A9" w:rsidP="00BF62A9">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AD21F1">
        <w:rPr>
          <w:rFonts w:ascii="Calibri" w:eastAsia="Times New Roman" w:hAnsi="Calibri" w:cs="Arial"/>
          <w:sz w:val="24"/>
          <w:szCs w:val="24"/>
        </w:rPr>
        <w:t xml:space="preserve">Guapirama, </w:t>
      </w:r>
      <w:r>
        <w:rPr>
          <w:rFonts w:ascii="Calibri" w:eastAsia="Times New Roman" w:hAnsi="Calibri" w:cs="Arial"/>
          <w:sz w:val="24"/>
          <w:szCs w:val="24"/>
        </w:rPr>
        <w:t>01</w:t>
      </w:r>
      <w:r w:rsidRPr="00AD21F1">
        <w:rPr>
          <w:rFonts w:ascii="Calibri" w:eastAsia="Times New Roman" w:hAnsi="Calibri" w:cs="Arial"/>
          <w:sz w:val="24"/>
          <w:szCs w:val="24"/>
        </w:rPr>
        <w:t xml:space="preserve"> de </w:t>
      </w:r>
      <w:r>
        <w:rPr>
          <w:rFonts w:ascii="Calibri" w:eastAsia="Times New Roman" w:hAnsi="Calibri" w:cs="Arial"/>
          <w:sz w:val="24"/>
          <w:szCs w:val="24"/>
        </w:rPr>
        <w:t>agosto</w:t>
      </w:r>
      <w:r w:rsidRPr="00AD21F1">
        <w:rPr>
          <w:rFonts w:ascii="Calibri" w:eastAsia="Times New Roman" w:hAnsi="Calibri" w:cs="Arial"/>
          <w:sz w:val="24"/>
          <w:szCs w:val="24"/>
        </w:rPr>
        <w:t xml:space="preserve"> de 2022.</w:t>
      </w:r>
    </w:p>
    <w:p w:rsidR="00BF62A9" w:rsidRPr="00AD21F1" w:rsidRDefault="00BF62A9" w:rsidP="00BF62A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bCs/>
          <w:sz w:val="24"/>
          <w:szCs w:val="24"/>
        </w:rPr>
        <w:tab/>
      </w:r>
      <w:r w:rsidRPr="00AD21F1">
        <w:rPr>
          <w:rFonts w:ascii="Calibri" w:eastAsia="Times New Roman" w:hAnsi="Calibri" w:cs="Arial"/>
          <w:b/>
          <w:bCs/>
          <w:sz w:val="24"/>
          <w:szCs w:val="24"/>
        </w:rPr>
        <w:tab/>
      </w:r>
      <w:r w:rsidRPr="00AD21F1">
        <w:rPr>
          <w:rFonts w:ascii="Calibri" w:eastAsia="Times New Roman" w:hAnsi="Calibri" w:cs="Arial"/>
          <w:b/>
          <w:bCs/>
          <w:sz w:val="24"/>
          <w:szCs w:val="24"/>
        </w:rPr>
        <w:tab/>
      </w:r>
      <w:r w:rsidRPr="00AD21F1">
        <w:rPr>
          <w:rFonts w:ascii="Calibri" w:eastAsia="Times New Roman" w:hAnsi="Calibri" w:cs="Arial"/>
          <w:b/>
          <w:bCs/>
          <w:sz w:val="24"/>
          <w:szCs w:val="24"/>
        </w:rPr>
        <w:tab/>
      </w: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___________________________________</w:t>
      </w: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EMPRESA</w:t>
      </w:r>
      <w:r w:rsidRPr="00AD21F1">
        <w:rPr>
          <w:rFonts w:ascii="Calibri" w:eastAsia="Times New Roman" w:hAnsi="Calibri" w:cs="Arial"/>
          <w:b/>
          <w:sz w:val="24"/>
          <w:szCs w:val="24"/>
        </w:rPr>
        <w:tab/>
      </w:r>
    </w:p>
    <w:p w:rsidR="00BF62A9" w:rsidRPr="00AD21F1" w:rsidRDefault="00BF62A9" w:rsidP="00BF62A9">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sz w:val="24"/>
          <w:szCs w:val="24"/>
        </w:rPr>
        <w:t>Representante Legal</w:t>
      </w: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21F1">
        <w:rPr>
          <w:rFonts w:ascii="Calibri" w:eastAsia="Times New Roman" w:hAnsi="Calibri" w:cs="Arial"/>
          <w:b/>
          <w:bCs/>
          <w:sz w:val="24"/>
          <w:szCs w:val="24"/>
        </w:rPr>
        <w:t>CONTRATADA</w:t>
      </w: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Pr="00AD21F1" w:rsidRDefault="00BF62A9" w:rsidP="00BF62A9">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BF62A9" w:rsidRDefault="00BF62A9" w:rsidP="00BF62A9"/>
    <w:p w:rsidR="006462CE" w:rsidRDefault="006462CE"/>
    <w:sectPr w:rsidR="006462CE">
      <w:headerReference w:type="default" r:id="rId6"/>
      <w:footerReference w:type="default" r:id="rI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9" w:rsidRPr="00EE5C10" w:rsidRDefault="00BF62A9" w:rsidP="00D54119">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D54119" w:rsidRDefault="00BF62A9" w:rsidP="00D54119">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D54119" w:rsidRPr="00EE5C10" w:rsidRDefault="00BF62A9" w:rsidP="00D54119">
    <w:pPr>
      <w:tabs>
        <w:tab w:val="right" w:pos="8647"/>
      </w:tabs>
      <w:spacing w:after="0" w:line="240" w:lineRule="auto"/>
      <w:rPr>
        <w:rFonts w:ascii="Arial" w:hAnsi="Arial" w:cs="Arial"/>
        <w:sz w:val="18"/>
        <w:szCs w:val="24"/>
      </w:rPr>
    </w:pPr>
  </w:p>
  <w:p w:rsidR="00D54119" w:rsidRDefault="00BF62A9">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9" w:rsidRPr="00C87030" w:rsidRDefault="00BF62A9" w:rsidP="00D54119">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1.8pt;margin-top:-1.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20868454" r:id="rId2"/>
      </w:pict>
    </w:r>
    <w:r w:rsidRPr="00C87030">
      <w:rPr>
        <w:rFonts w:ascii="Edwardian Script ITC" w:hAnsi="Edwardian Script ITC"/>
        <w:b/>
        <w:noProof/>
        <w:sz w:val="60"/>
        <w:szCs w:val="60"/>
      </w:rPr>
      <w:t>Prefeitura Municipal de Guapirama</w:t>
    </w:r>
  </w:p>
  <w:p w:rsidR="00D54119" w:rsidRDefault="00BF62A9" w:rsidP="00D54119">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D54119" w:rsidRDefault="00BF62A9" w:rsidP="00D54119">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D54119" w:rsidRPr="00717C51" w:rsidRDefault="00BF62A9" w:rsidP="00D54119">
    <w:pPr>
      <w:pStyle w:val="Cabealho"/>
      <w:tabs>
        <w:tab w:val="left" w:pos="0"/>
        <w:tab w:val="right" w:pos="9356"/>
      </w:tabs>
      <w:rPr>
        <w:sz w:val="12"/>
      </w:rPr>
    </w:pPr>
  </w:p>
  <w:p w:rsidR="00D54119" w:rsidRDefault="00BF62A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2A9"/>
    <w:rsid w:val="006462CE"/>
    <w:rsid w:val="00BF62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2A9"/>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F62A9"/>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BF62A9"/>
    <w:rPr>
      <w:rFonts w:ascii="Times New Roman" w:eastAsia="Calibri" w:hAnsi="Times New Roman" w:cs="Times New Roman"/>
      <w:sz w:val="20"/>
    </w:rPr>
  </w:style>
  <w:style w:type="paragraph" w:styleId="Rodap">
    <w:name w:val="footer"/>
    <w:basedOn w:val="Normal"/>
    <w:link w:val="RodapChar"/>
    <w:uiPriority w:val="99"/>
    <w:unhideWhenUsed/>
    <w:rsid w:val="00BF62A9"/>
    <w:pPr>
      <w:tabs>
        <w:tab w:val="center" w:pos="4252"/>
        <w:tab w:val="right" w:pos="8504"/>
      </w:tabs>
      <w:spacing w:after="0" w:line="240" w:lineRule="auto"/>
    </w:pPr>
  </w:style>
  <w:style w:type="character" w:customStyle="1" w:styleId="RodapChar">
    <w:name w:val="Rodapé Char"/>
    <w:basedOn w:val="Fontepargpadro"/>
    <w:link w:val="Rodap"/>
    <w:uiPriority w:val="99"/>
    <w:rsid w:val="00BF62A9"/>
    <w:rPr>
      <w:rFonts w:ascii="Times New Roman" w:eastAsia="Calibri"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2A9"/>
    <w:rPr>
      <w:rFonts w:ascii="Times New Roman" w:eastAsia="Calibri"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BF62A9"/>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BF62A9"/>
    <w:rPr>
      <w:rFonts w:ascii="Times New Roman" w:eastAsia="Calibri" w:hAnsi="Times New Roman" w:cs="Times New Roman"/>
      <w:sz w:val="20"/>
    </w:rPr>
  </w:style>
  <w:style w:type="paragraph" w:styleId="Rodap">
    <w:name w:val="footer"/>
    <w:basedOn w:val="Normal"/>
    <w:link w:val="RodapChar"/>
    <w:uiPriority w:val="99"/>
    <w:unhideWhenUsed/>
    <w:rsid w:val="00BF62A9"/>
    <w:pPr>
      <w:tabs>
        <w:tab w:val="center" w:pos="4252"/>
        <w:tab w:val="right" w:pos="8504"/>
      </w:tabs>
      <w:spacing w:after="0" w:line="240" w:lineRule="auto"/>
    </w:pPr>
  </w:style>
  <w:style w:type="character" w:customStyle="1" w:styleId="RodapChar">
    <w:name w:val="Rodapé Char"/>
    <w:basedOn w:val="Fontepargpadro"/>
    <w:link w:val="Rodap"/>
    <w:uiPriority w:val="99"/>
    <w:rsid w:val="00BF62A9"/>
    <w:rPr>
      <w:rFonts w:ascii="Times New Roman" w:eastAsia="Calibri"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3938</Words>
  <Characters>21271</Characters>
  <Application>Microsoft Office Word</Application>
  <DocSecurity>0</DocSecurity>
  <Lines>177</Lines>
  <Paragraphs>50</Paragraphs>
  <ScaleCrop>false</ScaleCrop>
  <Company/>
  <LinksUpToDate>false</LinksUpToDate>
  <CharactersWithSpaces>25159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2022-08-01T17:13:00Z</dcterms:created>
  <dcterms:modified xsi:type="dcterms:W3CDTF">2022-08-01T17:15:00Z</dcterms:modified>
</cp:coreProperties>
</file>